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REPUBLIC OF IRAQ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MINISTRY OF HIGHER EDUCATION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SCIENTIFIC RESEARCH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UNIVERSITY OF KUFA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Berlin Sans FB" w:hAnsi="Berlin Sans FB" w:cs="Berlin Sans FB"/>
          <w:sz w:val="44"/>
          <w:szCs w:val="44"/>
        </w:rPr>
      </w:pPr>
      <w:bookmarkStart w:id="0" w:name="_GoBack"/>
      <w:r>
        <w:rPr>
          <w:rFonts w:ascii="Berlin Sans FB" w:hAnsi="Berlin Sans FB" w:cs="Berlin Sans FB"/>
          <w:sz w:val="44"/>
          <w:szCs w:val="44"/>
        </w:rPr>
        <w:t xml:space="preserve">Genotyping Analysis To Determine The Lineages Types Of </w:t>
      </w:r>
      <w:r>
        <w:rPr>
          <w:rFonts w:ascii="Berlin Sans FB" w:hAnsi="Berlin Sans FB" w:cs="Berlin Sans FB"/>
          <w:sz w:val="46"/>
          <w:szCs w:val="46"/>
        </w:rPr>
        <w:t xml:space="preserve">Toxoplasma </w:t>
      </w:r>
      <w:proofErr w:type="spellStart"/>
      <w:r>
        <w:rPr>
          <w:rFonts w:ascii="Berlin Sans FB" w:hAnsi="Berlin Sans FB" w:cs="Berlin Sans FB"/>
          <w:sz w:val="46"/>
          <w:szCs w:val="46"/>
        </w:rPr>
        <w:t>gondii</w:t>
      </w:r>
      <w:proofErr w:type="spellEnd"/>
      <w:r>
        <w:rPr>
          <w:rFonts w:ascii="Berlin Sans FB" w:hAnsi="Berlin Sans FB" w:cs="Berlin Sans FB"/>
          <w:sz w:val="46"/>
          <w:szCs w:val="46"/>
        </w:rPr>
        <w:t xml:space="preserve"> </w:t>
      </w:r>
      <w:r>
        <w:rPr>
          <w:rFonts w:ascii="Berlin Sans FB" w:hAnsi="Berlin Sans FB" w:cs="Berlin Sans FB"/>
          <w:sz w:val="44"/>
          <w:szCs w:val="44"/>
        </w:rPr>
        <w:t>With Study Of Autoantibodies Production</w:t>
      </w:r>
    </w:p>
    <w:bookmarkEnd w:id="0"/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Berlin Sans FB" w:hAnsi="Berlin Sans FB" w:cs="Berlin Sans FB"/>
          <w:sz w:val="44"/>
          <w:szCs w:val="44"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Monotype Corsiva,Italic" w:hAnsi="Monotype Corsiva,Italic" w:cs="Monotype Corsiva,Italic"/>
          <w:i/>
          <w:iCs/>
          <w:sz w:val="36"/>
          <w:szCs w:val="36"/>
        </w:rPr>
      </w:pPr>
      <w:r>
        <w:rPr>
          <w:rFonts w:ascii="Monotype Corsiva,Italic" w:hAnsi="Monotype Corsiva,Italic" w:cs="Monotype Corsiva,Italic"/>
          <w:i/>
          <w:iCs/>
          <w:sz w:val="36"/>
          <w:szCs w:val="36"/>
        </w:rPr>
        <w:t>A thesis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6"/>
          <w:szCs w:val="36"/>
        </w:rPr>
      </w:pPr>
      <w:r>
        <w:rPr>
          <w:rFonts w:ascii="Monotype Corsiva,Italic" w:hAnsi="Monotype Corsiva,Italic" w:cs="Monotype Corsiva,Italic"/>
          <w:i/>
          <w:iCs/>
          <w:sz w:val="36"/>
          <w:szCs w:val="36"/>
        </w:rPr>
        <w:t xml:space="preserve">Submitted to the Council of College of Science of </w:t>
      </w:r>
      <w:proofErr w:type="spellStart"/>
      <w:r>
        <w:rPr>
          <w:rFonts w:ascii="Monotype Corsiva,Italic" w:hAnsi="Monotype Corsiva,Italic" w:cs="Monotype Corsiva,Italic"/>
          <w:i/>
          <w:iCs/>
          <w:sz w:val="36"/>
          <w:szCs w:val="36"/>
        </w:rPr>
        <w:t>Kuffa</w:t>
      </w:r>
      <w:proofErr w:type="spellEnd"/>
      <w:r>
        <w:rPr>
          <w:rFonts w:ascii="Monotype Corsiva,Italic" w:hAnsi="Monotype Corsiva,Italic" w:cs="Monotype Corsiva,Italic"/>
          <w:i/>
          <w:iCs/>
          <w:sz w:val="36"/>
          <w:szCs w:val="36"/>
        </w:rPr>
        <w:t xml:space="preserve"> University In Partial Fulfillment Of The Requirement For The </w:t>
      </w:r>
      <w:proofErr w:type="spellStart"/>
      <w:r>
        <w:rPr>
          <w:rFonts w:ascii="Monotype Corsiva,Italic" w:hAnsi="Monotype Corsiva,Italic" w:cs="Monotype Corsiva,Italic"/>
          <w:i/>
          <w:iCs/>
          <w:sz w:val="36"/>
          <w:szCs w:val="36"/>
        </w:rPr>
        <w:t>Dgree</w:t>
      </w:r>
      <w:proofErr w:type="spellEnd"/>
      <w:r>
        <w:rPr>
          <w:rFonts w:ascii="Monotype Corsiva,Italic" w:hAnsi="Monotype Corsiva,Italic" w:cs="Monotype Corsiva,Italic"/>
          <w:i/>
          <w:iCs/>
          <w:sz w:val="36"/>
          <w:szCs w:val="36"/>
        </w:rPr>
        <w:t xml:space="preserve"> Of Philosophy Of Doctorate In Biology-Microbiology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36"/>
          <w:szCs w:val="36"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  <w:r>
        <w:rPr>
          <w:rFonts w:ascii="Courier New,Bold" w:hAnsi="Courier New,Bold" w:cs="Courier New,Bold"/>
          <w:b/>
          <w:bCs/>
          <w:sz w:val="36"/>
          <w:szCs w:val="36"/>
        </w:rPr>
        <w:t>By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  <w:proofErr w:type="spellStart"/>
      <w:r>
        <w:rPr>
          <w:rFonts w:ascii="Courier New,Bold" w:hAnsi="Courier New,Bold" w:cs="Courier New,Bold"/>
          <w:b/>
          <w:bCs/>
          <w:sz w:val="36"/>
          <w:szCs w:val="36"/>
        </w:rPr>
        <w:t>Noaman</w:t>
      </w:r>
      <w:proofErr w:type="spellEnd"/>
      <w:r>
        <w:rPr>
          <w:rFonts w:ascii="Courier New,Bold" w:hAnsi="Courier New,Bold" w:cs="Courier New,Bold"/>
          <w:b/>
          <w:bCs/>
          <w:sz w:val="36"/>
          <w:szCs w:val="36"/>
        </w:rPr>
        <w:t xml:space="preserve"> </w:t>
      </w:r>
      <w:proofErr w:type="spellStart"/>
      <w:r>
        <w:rPr>
          <w:rFonts w:ascii="Courier New,Bold" w:hAnsi="Courier New,Bold" w:cs="Courier New,Bold"/>
          <w:b/>
          <w:bCs/>
          <w:sz w:val="36"/>
          <w:szCs w:val="36"/>
        </w:rPr>
        <w:t>Naji</w:t>
      </w:r>
      <w:proofErr w:type="spellEnd"/>
      <w:r>
        <w:rPr>
          <w:rFonts w:ascii="Courier New,Bold" w:hAnsi="Courier New,Bold" w:cs="Courier New,Bold"/>
          <w:b/>
          <w:bCs/>
          <w:sz w:val="36"/>
          <w:szCs w:val="36"/>
        </w:rPr>
        <w:t xml:space="preserve"> </w:t>
      </w:r>
      <w:proofErr w:type="spellStart"/>
      <w:r>
        <w:rPr>
          <w:rFonts w:ascii="Courier New,Bold" w:hAnsi="Courier New,Bold" w:cs="Courier New,Bold"/>
          <w:b/>
          <w:bCs/>
          <w:sz w:val="36"/>
          <w:szCs w:val="36"/>
        </w:rPr>
        <w:t>A'aiz</w:t>
      </w:r>
      <w:proofErr w:type="spellEnd"/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  <w:r>
        <w:rPr>
          <w:rFonts w:ascii="Courier New,Bold" w:hAnsi="Courier New,Bold" w:cs="Courier New,Bold"/>
          <w:b/>
          <w:bCs/>
          <w:sz w:val="36"/>
          <w:szCs w:val="36"/>
        </w:rPr>
        <w:t>M.Sc. Parasitology 2000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  <w:r>
        <w:rPr>
          <w:rFonts w:ascii="Courier New,Bold" w:hAnsi="Courier New,Bold" w:cs="Courier New,Bold"/>
          <w:b/>
          <w:bCs/>
          <w:sz w:val="36"/>
          <w:szCs w:val="36"/>
        </w:rPr>
        <w:t>Supervised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  <w:proofErr w:type="spellStart"/>
      <w:r>
        <w:rPr>
          <w:rFonts w:ascii="Courier New,Bold" w:hAnsi="Courier New,Bold" w:cs="Courier New,Bold"/>
          <w:b/>
          <w:bCs/>
          <w:sz w:val="36"/>
          <w:szCs w:val="36"/>
        </w:rPr>
        <w:t>Prof.Dr</w:t>
      </w:r>
      <w:proofErr w:type="spellEnd"/>
      <w:r>
        <w:rPr>
          <w:rFonts w:ascii="Courier New,Bold" w:hAnsi="Courier New,Bold" w:cs="Courier New,Bold"/>
          <w:b/>
          <w:bCs/>
          <w:sz w:val="36"/>
          <w:szCs w:val="36"/>
        </w:rPr>
        <w:t xml:space="preserve">. </w:t>
      </w:r>
      <w:proofErr w:type="spellStart"/>
      <w:r>
        <w:rPr>
          <w:rFonts w:ascii="Courier New,Bold" w:hAnsi="Courier New,Bold" w:cs="Courier New,Bold"/>
          <w:b/>
          <w:bCs/>
          <w:sz w:val="36"/>
          <w:szCs w:val="36"/>
        </w:rPr>
        <w:t>Baqur</w:t>
      </w:r>
      <w:proofErr w:type="spellEnd"/>
      <w:r>
        <w:rPr>
          <w:rFonts w:ascii="Courier New,Bold" w:hAnsi="Courier New,Bold" w:cs="Courier New,Bold"/>
          <w:b/>
          <w:bCs/>
          <w:sz w:val="36"/>
          <w:szCs w:val="36"/>
        </w:rPr>
        <w:t xml:space="preserve"> A. Sultan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</w:p>
    <w:p w:rsidR="00592AAD" w:rsidRDefault="00592AAD" w:rsidP="00592AAD">
      <w:pPr>
        <w:bidi w:val="0"/>
        <w:jc w:val="center"/>
      </w:pPr>
      <w:r>
        <w:rPr>
          <w:rFonts w:ascii="Broadway" w:hAnsi="Broadway" w:cs="Broadway"/>
          <w:sz w:val="32"/>
          <w:szCs w:val="32"/>
        </w:rPr>
        <w:t>2010 A.D                                                                   1431 A.</w:t>
      </w:r>
    </w:p>
    <w:p w:rsidR="00592AAD" w:rsidRDefault="00592AAD" w:rsidP="00592AAD">
      <w:pPr>
        <w:bidi w:val="0"/>
        <w:jc w:val="both"/>
      </w:pPr>
    </w:p>
    <w:p w:rsidR="00592AAD" w:rsidRDefault="00592AAD" w:rsidP="00592AAD">
      <w:pPr>
        <w:bidi w:val="0"/>
        <w:jc w:val="both"/>
      </w:pPr>
    </w:p>
    <w:p w:rsidR="00592AAD" w:rsidRDefault="00592AAD" w:rsidP="00592AAD">
      <w:pPr>
        <w:bidi w:val="0"/>
        <w:jc w:val="both"/>
      </w:pPr>
    </w:p>
    <w:p w:rsidR="00592AAD" w:rsidRDefault="00592AAD" w:rsidP="00592AAD">
      <w:pPr>
        <w:bidi w:val="0"/>
        <w:jc w:val="both"/>
      </w:pPr>
    </w:p>
    <w:p w:rsidR="00592AAD" w:rsidRDefault="00592AAD" w:rsidP="00592AAD">
      <w:pPr>
        <w:bidi w:val="0"/>
        <w:jc w:val="both"/>
      </w:pPr>
    </w:p>
    <w:p w:rsidR="00592AAD" w:rsidRDefault="00592AAD" w:rsidP="00592AAD">
      <w:pPr>
        <w:bidi w:val="0"/>
        <w:jc w:val="both"/>
      </w:pPr>
    </w:p>
    <w:p w:rsidR="00592AAD" w:rsidRDefault="00592AAD" w:rsidP="00592AAD">
      <w:pPr>
        <w:bidi w:val="0"/>
        <w:jc w:val="both"/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hint="cs"/>
          <w:rtl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hint="cs"/>
          <w:rtl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hint="cs"/>
          <w:rtl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hint="cs"/>
          <w:rtl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hint="cs"/>
          <w:rtl/>
        </w:rPr>
      </w:pP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6"/>
          <w:szCs w:val="36"/>
        </w:rPr>
      </w:pPr>
      <w:r>
        <w:rPr>
          <w:rFonts w:ascii="Courier New,Bold" w:hAnsi="Courier New,Bold" w:cs="Courier New,Bold"/>
          <w:b/>
          <w:bCs/>
          <w:sz w:val="36"/>
          <w:szCs w:val="36"/>
        </w:rPr>
        <w:lastRenderedPageBreak/>
        <w:t>Summary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present study determined the prevalence of toxoplasmosis among the women by using latex agglutination test (LAT) and enzyme linked </w:t>
      </w:r>
      <w:proofErr w:type="spellStart"/>
      <w:r>
        <w:rPr>
          <w:rFonts w:ascii="Times New Roman" w:hAnsi="Times New Roman" w:cs="Times New Roman"/>
          <w:sz w:val="28"/>
          <w:szCs w:val="28"/>
        </w:rPr>
        <w:t>immunosorbent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assay (ELISA) test, and then detected the correlation between toxoplasmosis and autoantibodies production by using five markers which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anticardiolipin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antiphospholipid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aPL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anti-nuclear antibody (ANA), </w:t>
      </w:r>
      <w:proofErr w:type="spellStart"/>
      <w:r>
        <w:rPr>
          <w:rFonts w:ascii="Times New Roman" w:hAnsi="Times New Roman" w:cs="Times New Roman"/>
          <w:sz w:val="28"/>
          <w:szCs w:val="28"/>
        </w:rPr>
        <w:t>antineutrophil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cytoplasmic antibody (ANCA) and Rheumatoid factor (RF).Genetic analysis of SAG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locus by PCR-RFLP assay was performed, to determine the genotypes of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Toxoplasma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gondii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strains .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total of 434 clinically suspected cases of toxoplasmosis and 36 healthy women were involved in this study. Two hundred sixty (59.9%) of these suspected cases were diagnosed firstly as toxoplasmosis by LAT. Out of these LAT positive cases, only one hundred fifty six (47.4%) were positive by ELISA (</w:t>
      </w:r>
      <w:proofErr w:type="spellStart"/>
      <w:r>
        <w:rPr>
          <w:rFonts w:ascii="Times New Roman" w:hAnsi="Times New Roman" w:cs="Times New Roman"/>
          <w:sz w:val="28"/>
          <w:szCs w:val="28"/>
        </w:rPr>
        <w:t>IgG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>) which considered as a confirmed toxoplasmosis cases. The age of patient and number of abortions showed a Positive correlation with toxoplasmosis while residence, occupation and congenital anomalies did not have this correlation .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effecting of toxoplasmosis in production of autoantibodies was studied through five markers. </w:t>
      </w:r>
      <w:proofErr w:type="spellStart"/>
      <w:r>
        <w:rPr>
          <w:rFonts w:ascii="Times New Roman" w:hAnsi="Times New Roman" w:cs="Times New Roman"/>
          <w:sz w:val="28"/>
          <w:szCs w:val="28"/>
        </w:rPr>
        <w:t>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the first marker which was estimated by ELISA and revealed that, 19.4% of toxoplasmosis cases and zero% of control group showed positive result with significant differences (P&lt;0.05) between patients and control groups. Also by ELISA test , 18.75% of toxoplasmosis patients and 10% of healthy controls had </w:t>
      </w:r>
      <w:proofErr w:type="spellStart"/>
      <w:r>
        <w:rPr>
          <w:rFonts w:ascii="Times New Roman" w:hAnsi="Times New Roman" w:cs="Times New Roman"/>
          <w:sz w:val="28"/>
          <w:szCs w:val="28"/>
        </w:rPr>
        <w:t>aPL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antibodies , but with no significant differences (P&gt;0.05) between these two groups.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immunofluorescent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technique (IFAT) was used to estimate the ANA and ANCA. It was found that 9.8% and 5.5% of toxoplasmosis patients had ANA and ANCA respectively , but with no significant differences (P&gt;0.05) when comparing with control group of each one .</w:t>
      </w:r>
    </w:p>
    <w:p w:rsidR="00592AAD" w:rsidRDefault="00592AAD" w:rsidP="00592A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RF was tested by LAT and revealed that 10% of both infected women and healthy controls had antibodies against RF with no significant differences (P&gt;0.05) between them .</w:t>
      </w:r>
    </w:p>
    <w:p w:rsidR="00592AAD" w:rsidRDefault="00592AAD" w:rsidP="00592AAD">
      <w:pPr>
        <w:bidi w:val="0"/>
        <w:jc w:val="both"/>
        <w:rPr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present study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preformed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genetic analysis of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T.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gondii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using nested PCR- RFLP assay at SAG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locus, to determine the prevalence of the main genotypes (genotype) associated with toxoplasmosis women. This typing was directly conducted on clinical samples (blood and placenta). A total of 17 (58.6%) from 29 suspected samples were positive by PCR assay using B1 gene locus , out of 17 PCR positive cases, only 6 were successfully amplified by nested PCR and then were analyzed by restriction fragment length polymorphism (RFLP). Genotyping indicated that all these six cases were of type I strain</w:t>
      </w:r>
    </w:p>
    <w:p w:rsidR="00F650F9" w:rsidRPr="00592AAD" w:rsidRDefault="00F650F9">
      <w:pPr>
        <w:rPr>
          <w:rFonts w:hint="cs"/>
          <w:lang w:bidi="ar-IQ"/>
        </w:rPr>
      </w:pPr>
    </w:p>
    <w:sectPr w:rsidR="00F650F9" w:rsidRPr="00592AAD" w:rsidSect="00592AAD">
      <w:pgSz w:w="11906" w:h="16838"/>
      <w:pgMar w:top="567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9A"/>
    <w:rsid w:val="00592AAD"/>
    <w:rsid w:val="00AE699A"/>
    <w:rsid w:val="00BB38BE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>Ahmed-Under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alfoady</dc:creator>
  <cp:keywords/>
  <dc:description/>
  <cp:lastModifiedBy>alfoady</cp:lastModifiedBy>
  <cp:revision>2</cp:revision>
  <dcterms:created xsi:type="dcterms:W3CDTF">2016-03-02T08:59:00Z</dcterms:created>
  <dcterms:modified xsi:type="dcterms:W3CDTF">2016-03-02T09:00:00Z</dcterms:modified>
</cp:coreProperties>
</file>